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F3" w:rsidRDefault="00BD04F3" w:rsidP="00BD04F3">
      <w:pPr>
        <w:numPr>
          <w:ilvl w:val="0"/>
          <w:numId w:val="1"/>
        </w:numPr>
        <w:rPr>
          <w:rFonts w:hint="eastAsia"/>
          <w:b/>
          <w:bCs/>
          <w:sz w:val="24"/>
          <w:szCs w:val="24"/>
        </w:rPr>
      </w:pPr>
      <w:r>
        <w:rPr>
          <w:rFonts w:hint="eastAsia"/>
          <w:b/>
          <w:bCs/>
          <w:sz w:val="24"/>
          <w:szCs w:val="24"/>
        </w:rPr>
        <w:t>路基标准横断面</w:t>
      </w:r>
    </w:p>
    <w:p w:rsidR="00BD04F3" w:rsidRDefault="00BD04F3" w:rsidP="00BD04F3">
      <w:pPr>
        <w:spacing w:line="400" w:lineRule="exact"/>
        <w:jc w:val="left"/>
        <w:rPr>
          <w:rFonts w:hint="eastAsia"/>
          <w:sz w:val="24"/>
          <w:szCs w:val="24"/>
        </w:rPr>
      </w:pPr>
      <w:r>
        <w:rPr>
          <w:rFonts w:hint="eastAsia"/>
        </w:rPr>
        <w:t xml:space="preserve">    </w:t>
      </w:r>
      <w:r>
        <w:rPr>
          <w:rFonts w:hint="eastAsia"/>
          <w:sz w:val="24"/>
          <w:szCs w:val="24"/>
        </w:rPr>
        <w:t>在铁路路基工程中，路基的本体，路基本体的各种防护和加固设施，在设计中常常可以遇到设计要求和设计条件相同或基本相似的情况。为了减少或避免做许多重复性的设计计算工作，将各种在设计中常遇到并可以共用的设计图式加以认定，便成为可直接引用的标准图式。</w:t>
      </w:r>
    </w:p>
    <w:p w:rsidR="00BD04F3" w:rsidRDefault="00BD04F3" w:rsidP="00BD04F3">
      <w:pPr>
        <w:spacing w:line="400" w:lineRule="exact"/>
        <w:ind w:firstLineChars="200" w:firstLine="480"/>
        <w:jc w:val="left"/>
        <w:rPr>
          <w:rFonts w:hint="eastAsia"/>
          <w:sz w:val="24"/>
          <w:szCs w:val="24"/>
        </w:rPr>
      </w:pPr>
      <w:r>
        <w:rPr>
          <w:rFonts w:hint="eastAsia"/>
          <w:sz w:val="24"/>
          <w:szCs w:val="24"/>
        </w:rPr>
        <w:t>路基标准图式有两种</w:t>
      </w:r>
      <w:r>
        <w:rPr>
          <w:rFonts w:hint="eastAsia"/>
          <w:sz w:val="24"/>
          <w:szCs w:val="24"/>
        </w:rPr>
        <w:t>:</w:t>
      </w:r>
    </w:p>
    <w:p w:rsidR="00BD04F3" w:rsidRDefault="00BD04F3" w:rsidP="00BD04F3">
      <w:pPr>
        <w:numPr>
          <w:ilvl w:val="0"/>
          <w:numId w:val="2"/>
        </w:numPr>
        <w:spacing w:line="400" w:lineRule="exact"/>
        <w:jc w:val="left"/>
        <w:rPr>
          <w:rFonts w:hint="eastAsia"/>
          <w:sz w:val="24"/>
          <w:szCs w:val="24"/>
        </w:rPr>
      </w:pPr>
      <w:r>
        <w:rPr>
          <w:rFonts w:hint="eastAsia"/>
          <w:sz w:val="24"/>
          <w:szCs w:val="24"/>
        </w:rPr>
        <w:t>在一般情况下，地基良好、无不良工程地质和水文地质间题和其他不良因素作用，路基可以按照《铁路路基设计规范》进行设计而形成的图式，这种图式有很强的通用性；</w:t>
      </w:r>
    </w:p>
    <w:p w:rsidR="00BD04F3" w:rsidRDefault="00BD04F3" w:rsidP="00BD04F3">
      <w:pPr>
        <w:numPr>
          <w:ilvl w:val="0"/>
          <w:numId w:val="2"/>
        </w:numPr>
        <w:spacing w:line="400" w:lineRule="exact"/>
        <w:jc w:val="left"/>
        <w:rPr>
          <w:rFonts w:hint="eastAsia"/>
          <w:sz w:val="24"/>
          <w:szCs w:val="24"/>
        </w:rPr>
      </w:pPr>
      <w:r>
        <w:rPr>
          <w:rFonts w:hint="eastAsia"/>
          <w:sz w:val="24"/>
          <w:szCs w:val="24"/>
        </w:rPr>
        <w:t>就某些特定的条件或特定的要求而制订的图式。在特定条件或特定的要求相同的路基工程中适用，在一定范围内有通用性。</w:t>
      </w:r>
    </w:p>
    <w:p w:rsidR="00BD04F3" w:rsidRDefault="00BD04F3" w:rsidP="00BD04F3">
      <w:pPr>
        <w:spacing w:line="400" w:lineRule="exact"/>
        <w:ind w:firstLineChars="200" w:firstLine="480"/>
        <w:jc w:val="left"/>
        <w:rPr>
          <w:rFonts w:hint="eastAsia"/>
          <w:sz w:val="24"/>
          <w:szCs w:val="24"/>
        </w:rPr>
      </w:pPr>
      <w:r>
        <w:rPr>
          <w:rFonts w:hint="eastAsia"/>
          <w:sz w:val="24"/>
          <w:szCs w:val="24"/>
        </w:rPr>
        <w:t>路基横断面的标准图式表明路基本体的构造尺寸和各种需要设置的防护、排水等设施的基本尺寸，所以，在实际应用时，对于各种防护设施、排水设备，以及如路堤的取土和路堑弃土的处理等，还都有一定的设计计算工作，标准图式为各项设计的取值提供了依据。</w:t>
      </w:r>
    </w:p>
    <w:p w:rsidR="00BD04F3" w:rsidRDefault="00BD04F3" w:rsidP="00BD04F3">
      <w:pPr>
        <w:spacing w:line="400" w:lineRule="exact"/>
        <w:jc w:val="left"/>
        <w:rPr>
          <w:rFonts w:hint="eastAsia"/>
          <w:sz w:val="24"/>
          <w:szCs w:val="24"/>
        </w:rPr>
      </w:pPr>
      <w:r>
        <w:rPr>
          <w:rFonts w:hint="eastAsia"/>
          <w:sz w:val="24"/>
          <w:szCs w:val="24"/>
        </w:rPr>
        <w:t>一、路堤横断面</w:t>
      </w:r>
    </w:p>
    <w:p w:rsidR="00BD04F3" w:rsidRDefault="00BD04F3" w:rsidP="00BD04F3">
      <w:pPr>
        <w:spacing w:line="400" w:lineRule="exact"/>
        <w:jc w:val="left"/>
        <w:rPr>
          <w:rFonts w:hint="eastAsia"/>
          <w:sz w:val="24"/>
          <w:szCs w:val="24"/>
        </w:rPr>
      </w:pPr>
      <w:r>
        <w:rPr>
          <w:rFonts w:hint="eastAsia"/>
          <w:sz w:val="24"/>
          <w:szCs w:val="24"/>
        </w:rPr>
        <w:t>路堤断面主要由路基顶面、边坡、护道、取土坑或排水沟等组成。</w:t>
      </w:r>
    </w:p>
    <w:p w:rsidR="00BD04F3" w:rsidRDefault="00BD04F3" w:rsidP="00BD04F3">
      <w:pPr>
        <w:spacing w:line="400" w:lineRule="exact"/>
        <w:jc w:val="left"/>
        <w:rPr>
          <w:sz w:val="24"/>
          <w:szCs w:val="24"/>
        </w:rPr>
      </w:pPr>
      <w:r>
        <w:rPr>
          <w:sz w:val="24"/>
          <w:szCs w:val="24"/>
        </w:rPr>
        <w:pict>
          <v:group id="组合 173" o:spid="_x0000_s2050" style="position:absolute;margin-left:-.95pt;margin-top:5pt;width:445.6pt;height:118.4pt;z-index:251660288" coordsize="8912,2368">
            <v:group id="组合 172" o:spid="_x0000_s2051" style="position:absolute;width:8912;height:2368" coordsize="8912,2368">
              <v:group id="组合 171" o:spid="_x0000_s2052" style="position:absolute;width:8912;height:2220" coordsize="8912,2220">
                <v:group id="组合 170" o:spid="_x0000_s2053" style="position:absolute;width:8912;height:2220" coordsize="8912,2220">
                  <v:group id="组合 169" o:spid="_x0000_s2054" style="position:absolute;width:8912;height:2220" coordsize="8912,2220">
                    <v:group id="组合 168" o:spid="_x0000_s2055" style="position:absolute;width:8912;height:2220" coordsize="8912,2220">
                      <v:group id="组合 167" o:spid="_x0000_s2056" style="position:absolute;width:8912;height:2220" coordsize="8912,2220">
                        <v:group id="组合 166" o:spid="_x0000_s2057" style="position:absolute;width:8912;height:2220" coordsize="8912,2220">
                          <v:group id="组合 165" o:spid="_x0000_s2058" style="position:absolute;width:8912;height:2220" coordsize="8912,2220">
                            <v:group id="组合 164" o:spid="_x0000_s2059" style="position:absolute;width:8912;height:2220" coordsize="8912,2220">
                              <v:group id="组合 163" o:spid="_x0000_s2060" style="position:absolute;width:8912;height:2220" coordsize="8912,2220">
                                <v:group id="组合 162" o:spid="_x0000_s2061" style="position:absolute;width:8912;height:2221" coordsize="8912,2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9" o:spid="_x0000_s2062" type="#_x0000_t75" style="position:absolute;top:117;width:8912;height:2104" filled="t">
                                    <v:imagedata r:id="rId7" o:title=""/>
                                  </v:shape>
                                  <v:shapetype id="_x0000_t202" coordsize="21600,21600" o:spt="202" path="m,l,21600r21600,l21600,xe">
                                    <v:stroke joinstyle="miter"/>
                                    <v:path gradientshapeok="t" o:connecttype="rect"/>
                                  </v:shapetype>
                                  <v:shape id="文本框 124" o:spid="_x0000_s2063" type="#_x0000_t202" style="position:absolute;left:4248;width:322;height:312;v-text-anchor:top-baseline" stroked="f">
                                    <v:fill color2="black"/>
                                    <v:shadow color="black [2]"/>
                                    <v:textbox style="mso-fit-shape-to-text:t" inset="0,0,0,0">
                                      <w:txbxContent>
                                        <w:p w:rsidR="00BD04F3" w:rsidRDefault="00BD04F3" w:rsidP="00BD04F3">
                                          <w:r>
                                            <w:t>B</w:t>
                                          </w:r>
                                        </w:p>
                                      </w:txbxContent>
                                    </v:textbox>
                                  </v:shape>
                                </v:group>
                                <v:shape id="文本框 125" o:spid="_x0000_s2064" type="#_x0000_t202" style="position:absolute;left:330;top:754;width:669;height:312" stroked="f">
                                  <v:fill color2="black"/>
                                  <v:shadow color="black [2]"/>
                                  <v:textbox style="mso-fit-shape-to-text:t" inset="0,0,0,0">
                                    <w:txbxContent>
                                      <w:p w:rsidR="00BD04F3" w:rsidRDefault="00BD04F3" w:rsidP="00BD04F3">
                                        <w:pPr>
                                          <w:rPr>
                                            <w:sz w:val="15"/>
                                            <w:szCs w:val="15"/>
                                          </w:rPr>
                                        </w:pPr>
                                        <w:r>
                                          <w:rPr>
                                            <w:sz w:val="15"/>
                                            <w:szCs w:val="15"/>
                                          </w:rPr>
                                          <w:t>≮1.0</w:t>
                                        </w:r>
                                      </w:p>
                                    </w:txbxContent>
                                  </v:textbox>
                                </v:shape>
                              </v:group>
                              <v:shape id="文本框 120" o:spid="_x0000_s2065" type="#_x0000_t202" style="position:absolute;left:1498;top:790;width:878;height:300" stroked="f">
                                <v:fill color2="black"/>
                                <v:shadow color="black [2]"/>
                                <v:textbox inset="0,0,0,0">
                                  <w:txbxContent>
                                    <w:p w:rsidR="00BD04F3" w:rsidRDefault="00BD04F3" w:rsidP="00BD04F3">
                                      <w:pPr>
                                        <w:jc w:val="center"/>
                                        <w:rPr>
                                          <w:sz w:val="15"/>
                                          <w:szCs w:val="15"/>
                                        </w:rPr>
                                      </w:pPr>
                                      <w:r>
                                        <w:rPr>
                                          <w:sz w:val="15"/>
                                          <w:szCs w:val="15"/>
                                        </w:rPr>
                                        <w:t>护道</w:t>
                                      </w:r>
                                      <w:r>
                                        <w:rPr>
                                          <w:sz w:val="15"/>
                                          <w:szCs w:val="15"/>
                                        </w:rPr>
                                        <w:t>≮2.0</w:t>
                                      </w:r>
                                    </w:p>
                                  </w:txbxContent>
                                </v:textbox>
                              </v:shape>
                            </v:group>
                            <v:shape id="文本框 120" o:spid="_x0000_s2066" type="#_x0000_t202" style="position:absolute;left:730;top:1318;width:634;height:300" stroked="f">
                              <v:fill color2="black"/>
                              <v:shadow color="black [2]"/>
                              <v:textbox inset="0,0,0,0">
                                <w:txbxContent>
                                  <w:p w:rsidR="00BD04F3" w:rsidRDefault="00BD04F3" w:rsidP="00BD04F3">
                                    <w:pPr>
                                      <w:jc w:val="center"/>
                                      <w:rPr>
                                        <w:rFonts w:hint="eastAsia"/>
                                        <w:sz w:val="15"/>
                                        <w:szCs w:val="15"/>
                                      </w:rPr>
                                    </w:pPr>
                                    <w:r>
                                      <w:rPr>
                                        <w:rFonts w:hint="eastAsia"/>
                                        <w:sz w:val="15"/>
                                        <w:szCs w:val="15"/>
                                      </w:rPr>
                                      <w:t>取土坑</w:t>
                                    </w:r>
                                  </w:p>
                                </w:txbxContent>
                              </v:textbox>
                            </v:shape>
                          </v:group>
                          <v:shape id="文本框 126" o:spid="_x0000_s2067" type="#_x0000_t202" style="position:absolute;left:5969;top:594;width:1061;height:312" stroked="f">
                            <v:fill color2="black"/>
                            <v:shadow color="black [2]"/>
                            <v:textbox style="mso-fit-shape-to-text:t" inset="0,0,0,0">
                              <w:txbxContent>
                                <w:p w:rsidR="00BD04F3" w:rsidRDefault="00BD04F3" w:rsidP="00BD04F3">
                                  <w:r>
                                    <w:t>护道</w:t>
                                  </w:r>
                                  <w:r>
                                    <w:t>≮2.0</w:t>
                                  </w:r>
                                </w:p>
                              </w:txbxContent>
                            </v:textbox>
                          </v:shape>
                        </v:group>
                        <v:shape id="文本框 123" o:spid="_x0000_s2068" type="#_x0000_t202" style="position:absolute;left:6994;top:1177;width:779;height:312;v-text-anchor:top-baseline" stroked="f">
                          <v:fill color2="black"/>
                          <v:shadow color="black [2]"/>
                          <v:textbox style="mso-fit-shape-to-text:t" inset="0,0,0,0">
                            <w:txbxContent>
                              <w:p w:rsidR="00BD04F3" w:rsidRDefault="00BD04F3" w:rsidP="00BD04F3">
                                <w:r>
                                  <w:t>取土坑</w:t>
                                </w:r>
                              </w:p>
                            </w:txbxContent>
                          </v:textbox>
                        </v:shape>
                      </v:group>
                      <v:shape id="文本框 129" o:spid="_x0000_s2069" type="#_x0000_t202" style="position:absolute;left:8653;top:1114;width:238;height:936;v-text-anchor:top-baseline" stroked="f">
                        <v:fill color2="black"/>
                        <v:shadow color="black [2]"/>
                        <v:textbox style="mso-fit-shape-to-text:t" inset="0,0,0,0">
                          <w:txbxContent>
                            <w:p w:rsidR="00BD04F3" w:rsidRDefault="00BD04F3" w:rsidP="00BD04F3">
                              <w:r>
                                <w:t>用地界</w:t>
                              </w:r>
                            </w:p>
                          </w:txbxContent>
                        </v:textbox>
                      </v:shape>
                    </v:group>
                    <v:shape id="文本框 127" o:spid="_x0000_s2070" type="#_x0000_t202" style="position:absolute;left:8020;top:712;width:669;height:312" stroked="f">
                      <v:fill color2="black"/>
                      <v:shadow color="black [2]"/>
                      <v:textbox style="mso-fit-shape-to-text:t" inset="0,0,0,0">
                        <w:txbxContent>
                          <w:p w:rsidR="00BD04F3" w:rsidRDefault="00BD04F3" w:rsidP="00BD04F3">
                            <w:r>
                              <w:t>≮1.0</w:t>
                            </w:r>
                          </w:p>
                        </w:txbxContent>
                      </v:textbox>
                    </v:shape>
                  </v:group>
                  <v:shape id="文本框 121" o:spid="_x0000_s2071" type="#_x0000_t202" style="position:absolute;left:4305;top:1147;width:807;height:312;v-text-anchor:top-baseline" stroked="f">
                    <v:fill color2="black"/>
                    <v:shadow color="black [2]"/>
                    <v:textbox style="mso-fit-shape-to-text:t" inset="0,0,0,0">
                      <w:txbxContent>
                        <w:p w:rsidR="00BD04F3" w:rsidRDefault="00BD04F3" w:rsidP="00BD04F3">
                          <w:r>
                            <w:t>H</w:t>
                          </w:r>
                          <w:r>
                            <w:t>＜</w:t>
                          </w:r>
                          <w:r>
                            <w:t>8m</w:t>
                          </w:r>
                        </w:p>
                      </w:txbxContent>
                    </v:textbox>
                  </v:shape>
                </v:group>
                <v:shape id="文本框 122" o:spid="_x0000_s2072" type="#_x0000_t202" style="position:absolute;left:3032;top:1188;width:891;height:312" stroked="f">
                  <v:fill color2="black"/>
                  <v:shadow color="black [2]"/>
                  <v:textbox style="mso-fit-shape-to-text:t" inset="0,0,0,0">
                    <w:txbxContent>
                      <w:p w:rsidR="00BD04F3" w:rsidRDefault="00BD04F3" w:rsidP="00BD04F3">
                        <w:r>
                          <w:t>i</w:t>
                        </w:r>
                        <w:r>
                          <w:t>＜</w:t>
                        </w:r>
                        <w:r>
                          <w:t>1:10</w:t>
                        </w:r>
                      </w:p>
                    </w:txbxContent>
                  </v:textbox>
                </v:shape>
              </v:group>
              <v:shape id="文本框 128" o:spid="_x0000_s2073" type="#_x0000_t202" style="position:absolute;left:776;top:2046;width:672;height:322" stroked="f">
                <v:fill color2="black"/>
                <v:shadow color="black [2]"/>
                <v:textbox inset="0,0,0,0">
                  <w:txbxContent>
                    <w:p w:rsidR="00BD04F3" w:rsidRDefault="00BD04F3" w:rsidP="00BD04F3">
                      <w:pPr>
                        <w:jc w:val="center"/>
                        <w:rPr>
                          <w:sz w:val="15"/>
                          <w:szCs w:val="15"/>
                        </w:rPr>
                      </w:pPr>
                      <w:r>
                        <w:rPr>
                          <w:sz w:val="15"/>
                          <w:szCs w:val="15"/>
                        </w:rPr>
                        <w:t>＜</w:t>
                      </w:r>
                      <w:r>
                        <w:rPr>
                          <w:sz w:val="15"/>
                          <w:szCs w:val="15"/>
                        </w:rPr>
                        <w:t>10.0</w:t>
                      </w:r>
                    </w:p>
                  </w:txbxContent>
                </v:textbox>
              </v:shape>
            </v:group>
            <v:shape id="文本框 130" o:spid="_x0000_s2074" type="#_x0000_t202" style="position:absolute;left:30;top:1326;width:239;height:936;v-text-anchor:top-baseline" stroked="f">
              <v:fill color2="black"/>
              <v:shadow color="black [2]"/>
              <v:textbox style="mso-fit-shape-to-text:t" inset="0,0,0,0">
                <w:txbxContent>
                  <w:p w:rsidR="00BD04F3" w:rsidRDefault="00BD04F3" w:rsidP="00BD04F3">
                    <w:r>
                      <w:t>用地界</w:t>
                    </w:r>
                  </w:p>
                </w:txbxContent>
              </v:textbox>
            </v:shape>
          </v:group>
        </w:pict>
      </w: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r>
        <w:rPr>
          <w:rFonts w:hint="eastAsia"/>
          <w:sz w:val="24"/>
          <w:szCs w:val="24"/>
        </w:rPr>
        <w:t xml:space="preserve">    </w:t>
      </w:r>
      <w:r>
        <w:rPr>
          <w:rFonts w:hint="eastAsia"/>
          <w:sz w:val="24"/>
          <w:szCs w:val="24"/>
        </w:rPr>
        <w:t>图</w:t>
      </w:r>
      <w:r>
        <w:rPr>
          <w:rFonts w:hint="eastAsia"/>
          <w:sz w:val="24"/>
          <w:szCs w:val="24"/>
        </w:rPr>
        <w:t>l-11</w:t>
      </w:r>
      <w:r>
        <w:rPr>
          <w:rFonts w:hint="eastAsia"/>
          <w:sz w:val="24"/>
          <w:szCs w:val="24"/>
        </w:rPr>
        <w:t>为单线铁路区间直线地段的黏性土路堤横断面。在图中，路堤本体的断面构造、路堤边坡的坡形、边坡坡度，均按规范的规定，在边坡高</w:t>
      </w:r>
      <w:r>
        <w:rPr>
          <w:rFonts w:hint="eastAsia"/>
          <w:sz w:val="24"/>
          <w:szCs w:val="24"/>
        </w:rPr>
        <w:t>H</w:t>
      </w:r>
      <w:r>
        <w:rPr>
          <w:rFonts w:hint="eastAsia"/>
          <w:sz w:val="24"/>
          <w:szCs w:val="24"/>
        </w:rPr>
        <w:t>≤</w:t>
      </w:r>
      <w:r>
        <w:rPr>
          <w:rFonts w:hint="eastAsia"/>
          <w:sz w:val="24"/>
          <w:szCs w:val="24"/>
        </w:rPr>
        <w:t>8m</w:t>
      </w:r>
      <w:r>
        <w:rPr>
          <w:rFonts w:hint="eastAsia"/>
          <w:sz w:val="24"/>
          <w:szCs w:val="24"/>
        </w:rPr>
        <w:t>的条件下得出；坡脚外有宽不小于</w:t>
      </w:r>
      <w:r>
        <w:rPr>
          <w:rFonts w:hint="eastAsia"/>
          <w:sz w:val="24"/>
          <w:szCs w:val="24"/>
        </w:rPr>
        <w:t>2m</w:t>
      </w:r>
      <w:r>
        <w:rPr>
          <w:rFonts w:hint="eastAsia"/>
          <w:sz w:val="24"/>
          <w:szCs w:val="24"/>
        </w:rPr>
        <w:t>的护道，起防护路堤本体的作用。若在高产作物区地段，在能保证路堤稳定的情况下，路堤护道的宽度可减小到</w:t>
      </w:r>
      <w:r>
        <w:rPr>
          <w:rFonts w:hint="eastAsia"/>
          <w:sz w:val="24"/>
          <w:szCs w:val="24"/>
        </w:rPr>
        <w:t>1m</w:t>
      </w:r>
      <w:r>
        <w:rPr>
          <w:rFonts w:hint="eastAsia"/>
          <w:sz w:val="24"/>
          <w:szCs w:val="24"/>
        </w:rPr>
        <w:t>。</w:t>
      </w: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r>
        <w:rPr>
          <w:rFonts w:hint="eastAsia"/>
          <w:sz w:val="24"/>
          <w:szCs w:val="24"/>
        </w:rPr>
        <w:t>二、路堑标准横断面</w:t>
      </w:r>
    </w:p>
    <w:p w:rsidR="00BD04F3" w:rsidRDefault="00BD04F3" w:rsidP="00BD04F3">
      <w:pPr>
        <w:spacing w:line="400" w:lineRule="exact"/>
        <w:ind w:firstLineChars="200" w:firstLine="480"/>
        <w:rPr>
          <w:rFonts w:hint="eastAsia"/>
          <w:sz w:val="24"/>
          <w:szCs w:val="24"/>
        </w:rPr>
      </w:pPr>
      <w:r>
        <w:rPr>
          <w:rFonts w:hint="eastAsia"/>
          <w:sz w:val="24"/>
          <w:szCs w:val="24"/>
        </w:rPr>
        <w:t>路堑是由路基顶面、侧沟、路堑边坡、弃土堆、天沟、用地界等组成。图</w:t>
      </w:r>
      <w:r>
        <w:rPr>
          <w:rFonts w:hint="eastAsia"/>
          <w:sz w:val="24"/>
          <w:szCs w:val="24"/>
        </w:rPr>
        <w:t>l-12</w:t>
      </w:r>
      <w:r>
        <w:rPr>
          <w:rFonts w:hint="eastAsia"/>
          <w:sz w:val="24"/>
          <w:szCs w:val="24"/>
        </w:rPr>
        <w:t>为单线铁路区间直线地段黏性土路堑横断面。</w:t>
      </w:r>
    </w:p>
    <w:p w:rsidR="00BD04F3" w:rsidRDefault="00BD04F3" w:rsidP="00BD04F3">
      <w:pPr>
        <w:spacing w:line="400" w:lineRule="exact"/>
        <w:ind w:firstLineChars="200" w:firstLine="480"/>
        <w:rPr>
          <w:rFonts w:hint="eastAsia"/>
          <w:sz w:val="24"/>
          <w:szCs w:val="24"/>
        </w:rPr>
      </w:pPr>
    </w:p>
    <w:p w:rsidR="00BD04F3" w:rsidRDefault="00BD04F3" w:rsidP="00BD04F3">
      <w:pPr>
        <w:spacing w:line="400" w:lineRule="exact"/>
        <w:ind w:firstLineChars="200" w:firstLine="480"/>
        <w:rPr>
          <w:rFonts w:hint="eastAsia"/>
          <w:sz w:val="24"/>
          <w:szCs w:val="24"/>
        </w:rPr>
      </w:pPr>
    </w:p>
    <w:p w:rsidR="00BD04F3" w:rsidRDefault="00BD04F3" w:rsidP="00BD04F3">
      <w:pPr>
        <w:spacing w:line="400" w:lineRule="exact"/>
        <w:rPr>
          <w:rFonts w:hint="eastAsia"/>
          <w:sz w:val="24"/>
          <w:szCs w:val="24"/>
        </w:rPr>
      </w:pPr>
      <w:r>
        <w:rPr>
          <w:sz w:val="24"/>
          <w:szCs w:val="24"/>
        </w:rPr>
        <w:lastRenderedPageBreak/>
        <w:pict>
          <v:group id="组合 250" o:spid="_x0000_s2075" style="position:absolute;left:0;text-align:left;margin-left:84.65pt;margin-top:154.55pt;width:426.1pt;height:118.8pt;z-index:251661312;mso-position-horizontal-relative:page;mso-position-vertical-relative:page" coordsize="5829,1629">
            <v:shape id="图片 251" o:spid="_x0000_s2076" type="#_x0000_t75" style="position:absolute;width:5760;height:1561" filled="t">
              <v:imagedata r:id="rId8" o:title=""/>
            </v:shape>
            <v:group id="组合 252" o:spid="_x0000_s2077" style="position:absolute;top:25;width:5829;height:1604" coordsize="5829,1604">
              <v:shape id="文本框 253" o:spid="_x0000_s2078" type="#_x0000_t202" style="position:absolute;left:980;top:672;width:435;height:214" stroked="f">
                <v:fill color2="black"/>
                <v:shadow color="#eeece1"/>
                <v:textbox style="mso-fit-shape-to-text:t" inset="0,0,0,0">
                  <w:txbxContent>
                    <w:p w:rsidR="00BD04F3" w:rsidRDefault="00BD04F3" w:rsidP="00BD04F3">
                      <w:r>
                        <w:t>弃土堆</w:t>
                      </w:r>
                    </w:p>
                  </w:txbxContent>
                </v:textbox>
              </v:shape>
              <v:shape id="文本框 254" o:spid="_x0000_s2079" type="#_x0000_t202" style="position:absolute;top:960;width:1392;height:214" stroked="f">
                <v:fill color2="black"/>
                <v:shadow color="#eeece1"/>
                <v:textbox style="mso-fit-shape-to-text:t" inset="0,0,0,0">
                  <w:txbxContent>
                    <w:p w:rsidR="00BD04F3" w:rsidRDefault="00BD04F3" w:rsidP="00BD04F3">
                      <w:r>
                        <w:t>天沟边坡</w:t>
                      </w:r>
                      <w:r>
                        <w:t>1:1~1:105</w:t>
                      </w:r>
                    </w:p>
                  </w:txbxContent>
                </v:textbox>
              </v:shape>
              <v:shape id="文本框 255" o:spid="_x0000_s2080" type="#_x0000_t202" style="position:absolute;left:114;top:58;width:306;height:428" stroked="f">
                <v:fill color2="black"/>
                <v:shadow color="#eeece1"/>
                <v:textbox style="mso-fit-shape-to-text:t" inset="0,0,0,0">
                  <w:txbxContent>
                    <w:p w:rsidR="00BD04F3" w:rsidRDefault="00BD04F3" w:rsidP="00BD04F3">
                      <w:r>
                        <w:t>＞</w:t>
                      </w:r>
                      <w:r>
                        <w:t>1.0</w:t>
                      </w:r>
                    </w:p>
                  </w:txbxContent>
                </v:textbox>
              </v:shape>
              <v:shape id="文本框 256" o:spid="_x0000_s2081" type="#_x0000_t202" style="position:absolute;left:529;top:48;width:431;height:428" stroked="f">
                <v:fill color2="black"/>
                <v:shadow color="#eeece1"/>
                <v:textbox style="mso-fit-shape-to-text:t" inset="0,0,0,0">
                  <w:txbxContent>
                    <w:p w:rsidR="00BD04F3" w:rsidRDefault="00BD04F3" w:rsidP="00BD04F3">
                      <w:r>
                        <w:t>1.0~5.0</w:t>
                      </w:r>
                    </w:p>
                  </w:txbxContent>
                </v:textbox>
              </v:shape>
              <v:shape id="文本框 257" o:spid="_x0000_s2082" type="#_x0000_t202" style="position:absolute;left:1296;width:715;height:214" stroked="f">
                <v:fill color2="black"/>
                <v:shadow color="#eeece1"/>
                <v:textbox style="mso-fit-shape-to-text:t" inset="0,0,0,0">
                  <w:txbxContent>
                    <w:p w:rsidR="00BD04F3" w:rsidRDefault="00BD04F3" w:rsidP="00BD04F3">
                      <w:r>
                        <w:t>S=2.0~5.0</w:t>
                      </w:r>
                    </w:p>
                  </w:txbxContent>
                </v:textbox>
              </v:shape>
              <v:shape id="文本框 258" o:spid="_x0000_s2083" type="#_x0000_t202" style="position:absolute;left:3169;top:595;width:104;height:214" stroked="f">
                <v:fill color2="black"/>
                <v:shadow color="#eeece1"/>
                <v:textbox style="mso-fit-shape-to-text:t" inset="0,0,0,0">
                  <w:txbxContent>
                    <w:p w:rsidR="00BD04F3" w:rsidRDefault="00BD04F3" w:rsidP="00BD04F3">
                      <w:r>
                        <w:t>B</w:t>
                      </w:r>
                    </w:p>
                  </w:txbxContent>
                </v:textbox>
              </v:shape>
              <v:shape id="文本框 259" o:spid="_x0000_s2084" type="#_x0000_t202" style="position:absolute;left:960;top:96;width:313;height:428" stroked="f">
                <v:fill color2="black"/>
                <v:shadow color="#eeece1"/>
                <v:textbox style="mso-fit-shape-to-text:t" inset="0,0,0,0">
                  <w:txbxContent>
                    <w:p w:rsidR="00BD04F3" w:rsidRDefault="00BD04F3" w:rsidP="00BD04F3">
                      <w:r>
                        <w:t>≮2%</w:t>
                      </w:r>
                    </w:p>
                  </w:txbxContent>
                </v:textbox>
              </v:shape>
              <v:shape id="文本框 260" o:spid="_x0000_s2085" type="#_x0000_t202" style="position:absolute;left:4224;top:116;width:715;height:214" stroked="f">
                <v:fill color2="black"/>
                <v:shadow color="#eeece1"/>
                <v:textbox style="mso-fit-shape-to-text:t" inset="0,0,0,0">
                  <w:txbxContent>
                    <w:p w:rsidR="00BD04F3" w:rsidRDefault="00BD04F3" w:rsidP="00BD04F3">
                      <w:r>
                        <w:t>S=2.0~5.0</w:t>
                      </w:r>
                    </w:p>
                  </w:txbxContent>
                </v:textbox>
              </v:shape>
              <v:shape id="文本框 261" o:spid="_x0000_s2086" type="#_x0000_t202" style="position:absolute;left:5010;top:144;width:313;height:428" stroked="f">
                <v:fill color2="black"/>
                <v:shadow color="#eeece1"/>
                <v:textbox style="mso-fit-shape-to-text:t" inset="0,0,0,0">
                  <w:txbxContent>
                    <w:p w:rsidR="00BD04F3" w:rsidRDefault="00BD04F3" w:rsidP="00BD04F3">
                      <w:r>
                        <w:t>≮2%</w:t>
                      </w:r>
                    </w:p>
                  </w:txbxContent>
                </v:textbox>
              </v:shape>
              <v:shape id="文本框 262" o:spid="_x0000_s2087" type="#_x0000_t202" style="position:absolute;left:5350;top:86;width:306;height:428" stroked="f">
                <v:fill color2="black"/>
                <v:shadow color="#eeece1"/>
                <v:textbox style="mso-fit-shape-to-text:t" inset="0,0,0,0">
                  <w:txbxContent>
                    <w:p w:rsidR="00BD04F3" w:rsidRDefault="00BD04F3" w:rsidP="00BD04F3">
                      <w:r>
                        <w:t>＞</w:t>
                      </w:r>
                      <w:r>
                        <w:t>1.0</w:t>
                      </w:r>
                    </w:p>
                  </w:txbxContent>
                </v:textbox>
              </v:shape>
              <v:shape id="文本框 263" o:spid="_x0000_s2088" type="#_x0000_t202" style="position:absolute;left:3274;top:1206;width:280;height:214" stroked="f">
                <v:fill color2="black"/>
                <v:shadow color="#eeece1"/>
                <v:textbox style="mso-fit-shape-to-text:t" inset="0,0,0,0">
                  <w:txbxContent>
                    <w:p w:rsidR="00BD04F3" w:rsidRDefault="00BD04F3" w:rsidP="00BD04F3">
                      <w:r>
                        <w:t>0.15</w:t>
                      </w:r>
                    </w:p>
                  </w:txbxContent>
                </v:textbox>
              </v:shape>
              <v:shape id="文本框 264" o:spid="_x0000_s2089" type="#_x0000_t202" style="position:absolute;left:3706;top:1390;width:200;height:214" stroked="f">
                <v:fill color2="black"/>
                <v:shadow color="#eeece1"/>
                <v:textbox style="mso-fit-shape-to-text:t" inset="0,0,0,0">
                  <w:txbxContent>
                    <w:p w:rsidR="00BD04F3" w:rsidRDefault="00BD04F3" w:rsidP="00BD04F3">
                      <w:r>
                        <w:t>0.4</w:t>
                      </w:r>
                    </w:p>
                  </w:txbxContent>
                </v:textbox>
              </v:shape>
              <v:shape id="文本框 265" o:spid="_x0000_s2090" type="#_x0000_t202" style="position:absolute;left:3988;top:1125;width:427;height:178" stroked="f">
                <v:fill color2="black"/>
                <v:shadow color="#eeece1"/>
                <v:textbox style="layout-flow:vertical-ideographic;mso-fit-shape-to-text:t" inset="0,0,0,0">
                  <w:txbxContent>
                    <w:p w:rsidR="00BD04F3" w:rsidRDefault="00BD04F3" w:rsidP="00BD04F3">
                      <w:r>
                        <w:t>0.6</w:t>
                      </w:r>
                    </w:p>
                  </w:txbxContent>
                </v:textbox>
              </v:shape>
              <v:shape id="文本框 266" o:spid="_x0000_s2091" type="#_x0000_t202" style="position:absolute;left:1496;top:310;width:624;height:428" stroked="f">
                <v:fill color2="black"/>
                <v:shadow color="#eeece1"/>
                <v:textbox style="mso-fit-shape-to-text:t" inset="0,0,0,0">
                  <w:txbxContent>
                    <w:p w:rsidR="00BD04F3" w:rsidRDefault="00BD04F3" w:rsidP="00BD04F3">
                      <w:r>
                        <w:t>不大于</w:t>
                      </w:r>
                      <w:r>
                        <w:t>3.0</w:t>
                      </w:r>
                    </w:p>
                  </w:txbxContent>
                </v:textbox>
              </v:shape>
              <v:shape id="文本框 267" o:spid="_x0000_s2092" type="#_x0000_t202" style="position:absolute;left:80;top:308;width:213;height:436" stroked="f">
                <v:fill color2="black"/>
                <v:shadow color="#eeece1"/>
                <v:textbox style="layout-flow:vertical-ideographic;mso-fit-shape-to-text:t" inset="0,0,0,0">
                  <w:txbxContent>
                    <w:p w:rsidR="00BD04F3" w:rsidRDefault="00BD04F3" w:rsidP="00BD04F3">
                      <w:r>
                        <w:t>用地界</w:t>
                      </w:r>
                    </w:p>
                  </w:txbxContent>
                </v:textbox>
              </v:shape>
              <v:shape id="文本框 268" o:spid="_x0000_s2093" type="#_x0000_t202" style="position:absolute;left:5616;top:284;width:213;height:436" stroked="f">
                <v:fill color2="black"/>
                <v:shadow color="#eeece1"/>
                <v:textbox style="layout-flow:vertical-ideographic;mso-fit-shape-to-text:t" inset="0,0,0,0">
                  <w:txbxContent>
                    <w:p w:rsidR="00BD04F3" w:rsidRDefault="00BD04F3" w:rsidP="00BD04F3">
                      <w:r>
                        <w:t>用地界</w:t>
                      </w:r>
                    </w:p>
                  </w:txbxContent>
                </v:textbox>
              </v:shape>
            </v:group>
            <w10:wrap anchorx="page" anchory="page"/>
          </v:group>
        </w:pict>
      </w:r>
    </w:p>
    <w:p w:rsidR="00BD04F3" w:rsidRDefault="00BD04F3" w:rsidP="00BD04F3">
      <w:pPr>
        <w:spacing w:line="400" w:lineRule="exact"/>
        <w:rPr>
          <w:rFonts w:hint="eastAsia"/>
          <w:sz w:val="24"/>
          <w:szCs w:val="24"/>
        </w:rPr>
      </w:pPr>
    </w:p>
    <w:p w:rsidR="00BD04F3" w:rsidRDefault="00BD04F3" w:rsidP="00BD04F3">
      <w:pPr>
        <w:spacing w:line="400" w:lineRule="exact"/>
        <w:rPr>
          <w:rFonts w:hint="eastAsia"/>
          <w:sz w:val="24"/>
          <w:szCs w:val="24"/>
        </w:rPr>
      </w:pPr>
    </w:p>
    <w:p w:rsidR="00BD04F3" w:rsidRDefault="00BD04F3" w:rsidP="00BD04F3">
      <w:pPr>
        <w:spacing w:beforeLines="50" w:afterLines="50" w:line="400" w:lineRule="exact"/>
        <w:jc w:val="center"/>
        <w:rPr>
          <w:rFonts w:hint="eastAsia"/>
          <w:sz w:val="24"/>
          <w:szCs w:val="24"/>
        </w:rPr>
      </w:pPr>
    </w:p>
    <w:p w:rsidR="00BD04F3" w:rsidRDefault="00BD04F3" w:rsidP="00BD04F3">
      <w:pPr>
        <w:rPr>
          <w:rFonts w:hint="eastAsia"/>
          <w:sz w:val="24"/>
          <w:szCs w:val="24"/>
        </w:rPr>
      </w:pPr>
    </w:p>
    <w:p w:rsidR="00BD04F3" w:rsidRDefault="00BD04F3" w:rsidP="00BD04F3">
      <w:pPr>
        <w:rPr>
          <w:rFonts w:hint="eastAsia"/>
          <w:sz w:val="24"/>
          <w:szCs w:val="24"/>
        </w:rPr>
      </w:pPr>
    </w:p>
    <w:p w:rsidR="00BD04F3" w:rsidRDefault="00BD04F3" w:rsidP="00BD04F3">
      <w:pPr>
        <w:rPr>
          <w:rFonts w:hint="eastAsia"/>
          <w:sz w:val="24"/>
          <w:szCs w:val="24"/>
        </w:rPr>
      </w:pPr>
    </w:p>
    <w:p w:rsidR="00BD04F3" w:rsidRDefault="00BD04F3" w:rsidP="00BD04F3">
      <w:pPr>
        <w:rPr>
          <w:rFonts w:hint="eastAsia"/>
          <w:sz w:val="24"/>
          <w:szCs w:val="24"/>
        </w:rPr>
      </w:pPr>
    </w:p>
    <w:p w:rsidR="006C0E84" w:rsidRPr="00BD04F3" w:rsidRDefault="006C0E84"/>
    <w:sectPr w:rsidR="006C0E84" w:rsidRPr="00BD0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84" w:rsidRDefault="006C0E84" w:rsidP="00BD04F3">
      <w:r>
        <w:separator/>
      </w:r>
    </w:p>
  </w:endnote>
  <w:endnote w:type="continuationSeparator" w:id="1">
    <w:p w:rsidR="006C0E84" w:rsidRDefault="006C0E84" w:rsidP="00BD0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84" w:rsidRDefault="006C0E84" w:rsidP="00BD04F3">
      <w:r>
        <w:separator/>
      </w:r>
    </w:p>
  </w:footnote>
  <w:footnote w:type="continuationSeparator" w:id="1">
    <w:p w:rsidR="006C0E84" w:rsidRDefault="006C0E84" w:rsidP="00BD0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8713"/>
    <w:multiLevelType w:val="singleLevel"/>
    <w:tmpl w:val="54AB8713"/>
    <w:lvl w:ilvl="0">
      <w:start w:val="1"/>
      <w:numFmt w:val="chineseCounting"/>
      <w:suff w:val="space"/>
      <w:lvlText w:val="第%1节"/>
      <w:lvlJc w:val="left"/>
    </w:lvl>
  </w:abstractNum>
  <w:abstractNum w:abstractNumId="1">
    <w:nsid w:val="54AB9632"/>
    <w:multiLevelType w:val="singleLevel"/>
    <w:tmpl w:val="54AB963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4F3"/>
    <w:rsid w:val="006C0E84"/>
    <w:rsid w:val="00BD0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04F3"/>
    <w:rPr>
      <w:sz w:val="18"/>
      <w:szCs w:val="18"/>
    </w:rPr>
  </w:style>
  <w:style w:type="paragraph" w:styleId="a4">
    <w:name w:val="footer"/>
    <w:basedOn w:val="a"/>
    <w:link w:val="Char0"/>
    <w:uiPriority w:val="99"/>
    <w:semiHidden/>
    <w:unhideWhenUsed/>
    <w:rsid w:val="00BD04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04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2016-12-20T07:54:00Z</dcterms:created>
  <dcterms:modified xsi:type="dcterms:W3CDTF">2016-12-20T07:54:00Z</dcterms:modified>
</cp:coreProperties>
</file>